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40" w:rsidRDefault="00F12F40" w:rsidP="00F12F40">
      <w:pPr>
        <w:ind w:left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MODEL DOSAR D</w:t>
      </w:r>
      <w:bookmarkStart w:id="0" w:name="_GoBack"/>
      <w:bookmarkEnd w:id="0"/>
      <w:r w:rsidR="00F61606"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 xml:space="preserve"> conform Ghid Cod: G – 07-01 - </w:t>
      </w:r>
      <w:r w:rsidRPr="00213CDE"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Autorizare pentru punerea în funcțiune a instalațiilor fixe în conformitate cu articolul 17, alineatul (1) din Hotărârea Guvernului nr.108/2020 privind interoperabilitatea sistemului feroviar</w:t>
      </w:r>
    </w:p>
    <w:p w:rsidR="00C04AD8" w:rsidRDefault="00C04AD8" w:rsidP="00F12F40">
      <w:pPr>
        <w:spacing w:before="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C04AD8" w:rsidRPr="001F66EA" w:rsidRDefault="00C04AD8" w:rsidP="00C04AD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ANEXA IV.</w:t>
      </w:r>
    </w:p>
    <w:p w:rsidR="00C04AD8" w:rsidRPr="00DD0976" w:rsidRDefault="00C04AD8" w:rsidP="00C04AD8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D0976">
        <w:rPr>
          <w:rFonts w:ascii="Times New Roman" w:hAnsi="Times New Roman" w:cs="Times New Roman"/>
          <w:b/>
          <w:bCs/>
          <w:sz w:val="24"/>
          <w:szCs w:val="24"/>
          <w:lang w:val="pt-BR"/>
        </w:rPr>
        <w:t>Dosarul de Siguranță - DS</w:t>
      </w:r>
    </w:p>
    <w:p w:rsidR="00C04AD8" w:rsidRPr="0028717C" w:rsidRDefault="00C04AD8" w:rsidP="00C04AD8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2871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DS </w:t>
      </w:r>
      <w:r w:rsidRPr="0028717C">
        <w:rPr>
          <w:rFonts w:ascii="Times New Roman" w:hAnsi="Times New Roman" w:cs="Times New Roman"/>
          <w:sz w:val="24"/>
          <w:szCs w:val="24"/>
          <w:lang w:val="pt-BR"/>
        </w:rPr>
        <w:t>conține următoarele elemente: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descriere a organizării generale a proiectului, inclusiv:</w:t>
      </w:r>
    </w:p>
    <w:p w:rsidR="00C04AD8" w:rsidRPr="001F66EA" w:rsidRDefault="00C04AD8" w:rsidP="00C04AD8">
      <w:pPr>
        <w:pStyle w:val="Listparagraf"/>
        <w:numPr>
          <w:ilvl w:val="1"/>
          <w:numId w:val="19"/>
        </w:numPr>
        <w:tabs>
          <w:tab w:val="left" w:pos="426"/>
        </w:tabs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prezentarea solicitantului;</w:t>
      </w:r>
    </w:p>
    <w:p w:rsidR="00C04AD8" w:rsidRPr="001F66EA" w:rsidRDefault="00C04AD8" w:rsidP="00C04AD8">
      <w:pPr>
        <w:pStyle w:val="Listparagraf"/>
        <w:numPr>
          <w:ilvl w:val="1"/>
          <w:numId w:val="19"/>
        </w:numPr>
        <w:tabs>
          <w:tab w:val="left" w:pos="426"/>
        </w:tabs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descrierea precisă a organizării proiectului;</w:t>
      </w:r>
    </w:p>
    <w:p w:rsidR="00C04AD8" w:rsidRPr="001F66EA" w:rsidRDefault="00C04AD8" w:rsidP="00C04AD8">
      <w:pPr>
        <w:pStyle w:val="Listparagraf"/>
        <w:numPr>
          <w:ilvl w:val="1"/>
          <w:numId w:val="19"/>
        </w:numPr>
        <w:tabs>
          <w:tab w:val="left" w:pos="426"/>
        </w:tabs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detalii despre misiunile încredințate organismelor de evaluare a conformității și de analiză a riscurilor.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O descriere detaliată a proiectului, inclusiv: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contextul, obiectivele și motivațiile proiectului;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lista STI-urilor, normelor naționale și documentelor de referință tehnice și de siguranță utilizate pentru proiectarea, construcția proiectului și pentru exploatarea și întreținerea instalațiilor, precum și scutirile de la toate aceste documente;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lista elementelor constitutive de interoperabilitate;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caracteristici tehnice si functionale;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interfețe cu sistemul în care se intenționează să fie utilizat sau încorporat;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inovațiile și singularitățile proiectului;</w:t>
      </w:r>
    </w:p>
    <w:p w:rsidR="00C04AD8" w:rsidRPr="001F66E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posibile variante de proiectare ale elementelor subsistemului;</w:t>
      </w:r>
    </w:p>
    <w:p w:rsidR="00C04AD8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posibile modificări de proiectare sau prevederi semnificativ diferite de cele prevăzute în DPS care nu au necesitat aprobarea unui nou DPS;</w:t>
      </w:r>
    </w:p>
    <w:p w:rsidR="00C04AD8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27DA">
        <w:rPr>
          <w:rFonts w:ascii="Times New Roman" w:hAnsi="Times New Roman"/>
          <w:sz w:val="24"/>
          <w:szCs w:val="24"/>
          <w:lang w:val="pt-BR"/>
        </w:rPr>
        <w:t>modalitățile de luare în considerare a cerințelor formulate de ASFR la aprobarea DPS;</w:t>
      </w:r>
    </w:p>
    <w:p w:rsidR="00C04AD8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27DA">
        <w:rPr>
          <w:rFonts w:ascii="Times New Roman" w:hAnsi="Times New Roman"/>
          <w:sz w:val="24"/>
          <w:szCs w:val="24"/>
          <w:lang w:val="pt-BR"/>
        </w:rPr>
        <w:t>metodele de luare în considerare a cerințelor de intervenție ale serviciilor de urgență;</w:t>
      </w:r>
    </w:p>
    <w:p w:rsidR="00C04AD8" w:rsidRPr="003A27DA" w:rsidRDefault="00C04AD8" w:rsidP="00C04AD8">
      <w:pPr>
        <w:pStyle w:val="Listparagraf"/>
        <w:numPr>
          <w:ilvl w:val="1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27DA">
        <w:rPr>
          <w:rFonts w:ascii="Times New Roman" w:hAnsi="Times New Roman"/>
          <w:sz w:val="24"/>
          <w:szCs w:val="24"/>
          <w:lang w:val="pt-BR"/>
        </w:rPr>
        <w:t xml:space="preserve">pentru proiectele care implementează Sistemul European de Management al Traficului Feroviar (ERTMS), aprobarea Agenției Uniunii Europene și, după caz, rezultatul procedurii menționate la articolul 30 alineatul (1) 2, din </w:t>
      </w:r>
      <w:r>
        <w:rPr>
          <w:rFonts w:ascii="Times New Roman" w:hAnsi="Times New Roman"/>
          <w:kern w:val="24"/>
          <w:sz w:val="24"/>
          <w:szCs w:val="24"/>
          <w:lang w:val="pt-BR"/>
        </w:rPr>
        <w:t>[EU-10]</w:t>
      </w:r>
      <w:r w:rsidRPr="003A27DA">
        <w:rPr>
          <w:rFonts w:ascii="Times New Roman" w:hAnsi="Times New Roman"/>
          <w:sz w:val="24"/>
          <w:szCs w:val="24"/>
          <w:lang w:val="pt-BR"/>
        </w:rPr>
        <w:t>menționat anterior, precum și modalitățile de luare în considerare a cerințelor cuprinse în acesta.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1F66EA">
        <w:rPr>
          <w:rFonts w:ascii="Times New Roman" w:hAnsi="Times New Roman"/>
          <w:sz w:val="24"/>
          <w:szCs w:val="24"/>
          <w:lang w:val="pt-BR"/>
        </w:rPr>
        <w:t>O descriere a testelor, încercărilor și simulărilor efectuate, precum și a rezultatelor și a opiniilor persoanelor competente care au analizat și validat aceste rezultate.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1F66EA">
        <w:rPr>
          <w:rFonts w:ascii="Times New Roman" w:hAnsi="Times New Roman"/>
          <w:sz w:val="24"/>
          <w:szCs w:val="24"/>
          <w:lang w:val="pt-BR"/>
        </w:rPr>
        <w:t>Un memoriu care vizează precizarea condițiilor de exploatare și întreținere ale proiectului care trebuie respectate pentru a asigura respectarea obiectivelor de siguranță pe toată durata exploatării, inclusiv:</w:t>
      </w:r>
    </w:p>
    <w:p w:rsidR="00C04AD8" w:rsidRDefault="00C04AD8" w:rsidP="00C04AD8">
      <w:pPr>
        <w:pStyle w:val="Listparagraf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descrierea zonelor de operare si a caracteristicilor generale de functionare in situatii normale, speciale sau degradate;</w:t>
      </w:r>
    </w:p>
    <w:p w:rsidR="00C04AD8" w:rsidRPr="003A27DA" w:rsidRDefault="00C04AD8" w:rsidP="00C04AD8">
      <w:pPr>
        <w:pStyle w:val="Listparagraf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27DA">
        <w:rPr>
          <w:rFonts w:ascii="Times New Roman" w:hAnsi="Times New Roman"/>
          <w:sz w:val="24"/>
          <w:szCs w:val="24"/>
          <w:lang w:val="pt-BR"/>
        </w:rPr>
        <w:t>descrierea cerințelor de întreținere care trebuie respectate pentru elementele de siguranță ale proiectului;</w:t>
      </w:r>
    </w:p>
    <w:p w:rsidR="00C04AD8" w:rsidRPr="001F66EA" w:rsidRDefault="00C04AD8" w:rsidP="00C04AD8">
      <w:pPr>
        <w:pStyle w:val="Listparagraf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conditii minime specifice de functionare;</w:t>
      </w:r>
    </w:p>
    <w:p w:rsidR="00C04AD8" w:rsidRPr="001F66EA" w:rsidRDefault="00C04AD8" w:rsidP="00C04AD8">
      <w:pPr>
        <w:pStyle w:val="Listparagraf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</w:t>
      </w:r>
      <w:r w:rsidRPr="001F66EA">
        <w:rPr>
          <w:rFonts w:ascii="Times New Roman" w:hAnsi="Times New Roman"/>
          <w:sz w:val="24"/>
          <w:szCs w:val="24"/>
          <w:lang w:val="it-IT"/>
        </w:rPr>
        <w:t>lanul de intervenţie şi securitate (PIS);</w:t>
      </w:r>
    </w:p>
    <w:p w:rsidR="00C04AD8" w:rsidRPr="001F66EA" w:rsidRDefault="00C04AD8" w:rsidP="00C04AD8">
      <w:pPr>
        <w:pStyle w:val="Listparagraf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 xml:space="preserve">proceduri de operare </w:t>
      </w:r>
      <w:r>
        <w:rPr>
          <w:rFonts w:ascii="Times New Roman" w:hAnsi="Times New Roman"/>
          <w:sz w:val="24"/>
          <w:szCs w:val="24"/>
          <w:lang w:val="it-IT"/>
        </w:rPr>
        <w:t>ș</w:t>
      </w:r>
      <w:r w:rsidRPr="001F66EA">
        <w:rPr>
          <w:rFonts w:ascii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/>
          <w:sz w:val="24"/>
          <w:szCs w:val="24"/>
          <w:lang w:val="it-IT"/>
        </w:rPr>
        <w:t>î</w:t>
      </w:r>
      <w:r w:rsidRPr="001F66EA">
        <w:rPr>
          <w:rFonts w:ascii="Times New Roman" w:hAnsi="Times New Roman"/>
          <w:sz w:val="24"/>
          <w:szCs w:val="24"/>
          <w:lang w:val="it-IT"/>
        </w:rPr>
        <w:t xml:space="preserve">ntretinere </w:t>
      </w:r>
      <w:r>
        <w:rPr>
          <w:rFonts w:ascii="Times New Roman" w:hAnsi="Times New Roman"/>
          <w:sz w:val="24"/>
          <w:szCs w:val="24"/>
          <w:lang w:val="it-IT"/>
        </w:rPr>
        <w:t>ș</w:t>
      </w:r>
      <w:r w:rsidRPr="001F66EA">
        <w:rPr>
          <w:rFonts w:ascii="Times New Roman" w:hAnsi="Times New Roman"/>
          <w:sz w:val="24"/>
          <w:szCs w:val="24"/>
          <w:lang w:val="it-IT"/>
        </w:rPr>
        <w:t>i instruc</w:t>
      </w:r>
      <w:r>
        <w:rPr>
          <w:rFonts w:ascii="Times New Roman" w:hAnsi="Times New Roman"/>
          <w:sz w:val="24"/>
          <w:szCs w:val="24"/>
          <w:lang w:val="it-IT"/>
        </w:rPr>
        <w:t>ț</w:t>
      </w:r>
      <w:r w:rsidRPr="001F66EA">
        <w:rPr>
          <w:rFonts w:ascii="Times New Roman" w:hAnsi="Times New Roman"/>
          <w:sz w:val="24"/>
          <w:szCs w:val="24"/>
          <w:lang w:val="it-IT"/>
        </w:rPr>
        <w:t>iuni specifice proiectului.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DD0976">
        <w:rPr>
          <w:rFonts w:ascii="Times New Roman" w:hAnsi="Times New Roman"/>
          <w:sz w:val="24"/>
          <w:szCs w:val="24"/>
          <w:lang w:val="it-IT"/>
        </w:rPr>
        <w:lastRenderedPageBreak/>
        <w:t>Memoriu tehnic</w:t>
      </w:r>
      <w:r w:rsidRPr="001F66EA">
        <w:rPr>
          <w:rFonts w:ascii="Times New Roman" w:hAnsi="Times New Roman"/>
          <w:sz w:val="24"/>
          <w:szCs w:val="24"/>
          <w:lang w:val="it-IT"/>
        </w:rPr>
        <w:t xml:space="preserve"> care să susțină siguranța, inclusiv:</w:t>
      </w:r>
    </w:p>
    <w:p w:rsidR="00C04AD8" w:rsidRPr="001F66EA" w:rsidRDefault="00C04AD8" w:rsidP="00C04AD8">
      <w:pPr>
        <w:pStyle w:val="Listparagr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declarația solicitantului care atestă acoperirea riscurilor identificate și conformitatea proiectului cu măsurile de acoperire a riscului de s</w:t>
      </w:r>
      <w:r>
        <w:rPr>
          <w:rFonts w:ascii="Times New Roman" w:hAnsi="Times New Roman"/>
          <w:sz w:val="24"/>
          <w:szCs w:val="24"/>
          <w:lang w:val="it-IT"/>
        </w:rPr>
        <w:t>iguranță</w:t>
      </w:r>
      <w:r w:rsidRPr="001F66EA">
        <w:rPr>
          <w:rFonts w:ascii="Times New Roman" w:hAnsi="Times New Roman"/>
          <w:sz w:val="24"/>
          <w:szCs w:val="24"/>
          <w:lang w:val="it-IT"/>
        </w:rPr>
        <w:t xml:space="preserve"> definite în procesul de evaluare a riscurilor;</w:t>
      </w:r>
    </w:p>
    <w:p w:rsidR="00C04AD8" w:rsidRPr="001F66EA" w:rsidRDefault="00C04AD8" w:rsidP="00C04AD8">
      <w:pPr>
        <w:pStyle w:val="Listparagr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 xml:space="preserve">demonstrarea că sistemul respectă toate cerințele de siguranță necesare pentru a accepta riscurile legate de pericolele identificate în timpul procesului de management al riscurilor în conformitate cu </w:t>
      </w:r>
      <w:r w:rsidRPr="00654DFD">
        <w:rPr>
          <w:rFonts w:ascii="Times New Roman" w:hAnsi="Times New Roman"/>
          <w:kern w:val="24"/>
          <w:sz w:val="24"/>
          <w:szCs w:val="24"/>
          <w:lang w:val="it-IT"/>
        </w:rPr>
        <w:t>[EU-04]</w:t>
      </w:r>
      <w:r w:rsidRPr="001F66EA">
        <w:rPr>
          <w:rFonts w:ascii="Times New Roman" w:hAnsi="Times New Roman"/>
          <w:sz w:val="24"/>
          <w:szCs w:val="24"/>
          <w:lang w:val="it-IT"/>
        </w:rPr>
        <w:t>menționat anterior;</w:t>
      </w:r>
    </w:p>
    <w:p w:rsidR="00C04AD8" w:rsidRPr="001F66EA" w:rsidRDefault="00C04AD8" w:rsidP="00C04AD8">
      <w:pPr>
        <w:pStyle w:val="Listparagr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 xml:space="preserve">identificarea constrângerilor exportate de proiect, analiza relevanței și admisibilității acestora în raport cu </w:t>
      </w:r>
      <w:r w:rsidRPr="00654DFD">
        <w:rPr>
          <w:rFonts w:ascii="Times New Roman" w:hAnsi="Times New Roman"/>
          <w:kern w:val="24"/>
          <w:sz w:val="24"/>
          <w:szCs w:val="24"/>
          <w:lang w:val="it-IT"/>
        </w:rPr>
        <w:t>[EU-10]</w:t>
      </w:r>
      <w:r w:rsidRPr="001F66EA">
        <w:rPr>
          <w:rFonts w:ascii="Times New Roman" w:hAnsi="Times New Roman"/>
          <w:sz w:val="24"/>
          <w:szCs w:val="24"/>
          <w:lang w:val="it-IT"/>
        </w:rPr>
        <w:t>menționat anterior, STI-urile, normele și documentele naționale de referință tehnică și de securitate, precum și dovezile; de acceptare și luare în considerare a constrângerilor exportate de entitățile în cauză;</w:t>
      </w:r>
    </w:p>
    <w:p w:rsidR="00C04AD8" w:rsidRPr="001F66EA" w:rsidRDefault="00C04AD8" w:rsidP="00C04AD8">
      <w:pPr>
        <w:pStyle w:val="Listparagr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raportul organismului de evaluare a riscurilor;</w:t>
      </w:r>
    </w:p>
    <w:p w:rsidR="00C04AD8" w:rsidRPr="001F66EA" w:rsidRDefault="00C04AD8" w:rsidP="00C04AD8">
      <w:pPr>
        <w:pStyle w:val="Listparagr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metodele de luare în considerare a riscurilor naturale și tehnologice identificate care pot afecta siguranța proiectului sau pe care proiectul le poate agrava, induce sau include.</w:t>
      </w:r>
    </w:p>
    <w:p w:rsidR="00C04AD8" w:rsidRPr="001F66EA" w:rsidRDefault="00C04AD8" w:rsidP="00C04AD8">
      <w:pPr>
        <w:pStyle w:val="Listparagraf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Un memorandum care susține interoperabilitatea, inclusiv, după caz:</w:t>
      </w:r>
    </w:p>
    <w:p w:rsidR="00C04AD8" w:rsidRPr="001F66EA" w:rsidRDefault="00C04AD8" w:rsidP="00C04AD8">
      <w:pPr>
        <w:pStyle w:val="Listparagraf"/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declarații „CE” de verificare a subsistemelor în ceea ce privește STI-urile și normele naționale;</w:t>
      </w:r>
    </w:p>
    <w:p w:rsidR="00C04AD8" w:rsidRPr="001F66EA" w:rsidRDefault="00C04AD8" w:rsidP="00C04AD8">
      <w:pPr>
        <w:pStyle w:val="Listparagraf"/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F66EA">
        <w:rPr>
          <w:rFonts w:ascii="Times New Roman" w:hAnsi="Times New Roman"/>
          <w:sz w:val="24"/>
          <w:szCs w:val="24"/>
          <w:lang w:val="pt-BR"/>
        </w:rPr>
        <w:t>declarații „CE” de conformitate sau adecvare pentru utilizare a constituenților de interoperabilitate;</w:t>
      </w:r>
    </w:p>
    <w:p w:rsidR="00C04AD8" w:rsidRPr="001F66EA" w:rsidRDefault="00C04AD8" w:rsidP="00C04AD8">
      <w:pPr>
        <w:pStyle w:val="Listparagraf"/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F66EA">
        <w:rPr>
          <w:rFonts w:ascii="Times New Roman" w:hAnsi="Times New Roman"/>
          <w:sz w:val="24"/>
          <w:szCs w:val="24"/>
          <w:lang w:val="pt-BR"/>
        </w:rPr>
        <w:t>certificatele de verificare sau, în lipsă, certificatele de inspecție intermediară (DIV) ale subsistemelor, precum și rapoartele de evaluare în cauză;</w:t>
      </w:r>
    </w:p>
    <w:p w:rsidR="00C04AD8" w:rsidRPr="001F66EA" w:rsidRDefault="00C04AD8" w:rsidP="00C04AD8">
      <w:pPr>
        <w:pStyle w:val="Listparagraf"/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certificate de conformitate „CE” și certificate de adecvare „CE” pentru utilizarea constituenților de interoperabilitate;</w:t>
      </w:r>
    </w:p>
    <w:p w:rsidR="00C04AD8" w:rsidRDefault="00C04AD8" w:rsidP="00C04AD8">
      <w:pPr>
        <w:pStyle w:val="Listparagraf"/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F66EA">
        <w:rPr>
          <w:rFonts w:ascii="Times New Roman" w:hAnsi="Times New Roman"/>
          <w:sz w:val="24"/>
          <w:szCs w:val="24"/>
          <w:lang w:val="it-IT"/>
        </w:rPr>
        <w:t>o copie a oricăror derogări de la STI-uri și normele naționale.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>o comparație sub formă tabelară (dacă este cazul grafică) între configurația actuală a subsistemului și cea executată în proiect, utilă pentru identificarea importanței schimbării introduse;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it-IT"/>
        </w:rPr>
        <w:t>datele necesare actualizării registrului rețelei naționale de căi ferate (RINF);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 xml:space="preserve">referințele proiectului la </w:t>
      </w:r>
      <w:r w:rsidRPr="00DD0976">
        <w:rPr>
          <w:rFonts w:ascii="Times New Roman" w:hAnsi="Times New Roman"/>
          <w:bCs/>
          <w:sz w:val="24"/>
          <w:szCs w:val="24"/>
          <w:lang w:val="ro-RO"/>
        </w:rPr>
        <w:t>planul național de implementare</w:t>
      </w:r>
      <w:r w:rsidRPr="00BF4606">
        <w:rPr>
          <w:rFonts w:ascii="Times New Roman" w:hAnsi="Times New Roman"/>
          <w:sz w:val="24"/>
          <w:szCs w:val="24"/>
          <w:lang w:val="ro-RO"/>
        </w:rPr>
        <w:t xml:space="preserve"> cu impact asupra indicând dacă, prin intervenția asupra sistemului feroviar se intenționează să se implementeze faze ale planului menționat anterior;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>o comparație sub formă tabelară (dacă este cazul grafică) între configurația actuală a subsistemului și cea executată în proiect, utilă pentru identificarea importanței schimbării introduse (numai pentru reînnoiri și modernizări);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>condiții și restricții în exploatare rezultate ca urmare a neaplicării tuturor cerințelor (parametri de bază) din STI aplicat, ca urmare a faptului că nu se implementează toate funcțiile, performanțele și interfețele din cap. 4;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>lista directivelor europene aplicabile proiectului altele decât directivele de interoperabilitate și siguranță (compatibilitate electromagnetică, mediu, etc.);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BF4606">
        <w:rPr>
          <w:rFonts w:ascii="Times New Roman" w:hAnsi="Times New Roman"/>
          <w:sz w:val="24"/>
          <w:szCs w:val="24"/>
          <w:lang w:val="ro-RO"/>
        </w:rPr>
        <w:t xml:space="preserve">în cazul în care este necesară verificarea integrării în </w:t>
      </w:r>
      <w:proofErr w:type="spellStart"/>
      <w:r w:rsidRPr="00BF4606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BF4606">
        <w:rPr>
          <w:rFonts w:ascii="Times New Roman" w:hAnsi="Times New Roman"/>
          <w:sz w:val="24"/>
          <w:szCs w:val="24"/>
          <w:lang w:val="ro-RO"/>
        </w:rPr>
        <w:t xml:space="preserve"> în conformitate cu art. 17 alin. (4) lit. c) </w:t>
      </w:r>
      <w:proofErr w:type="spellStart"/>
      <w:r w:rsidRPr="00BF460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F4606">
        <w:rPr>
          <w:rFonts w:ascii="Times New Roman" w:hAnsi="Times New Roman"/>
          <w:sz w:val="24"/>
          <w:szCs w:val="24"/>
          <w:lang w:val="ro-RO"/>
        </w:rPr>
        <w:t xml:space="preserve"> art. 20 alin. (5) lit. c), dosarul tehnic relevant include raportul/rapoartele evaluatorilor referitor la metodele comune de </w:t>
      </w:r>
      <w:proofErr w:type="spellStart"/>
      <w:r w:rsidRPr="00BF4606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BF4606">
        <w:rPr>
          <w:rFonts w:ascii="Times New Roman" w:hAnsi="Times New Roman"/>
          <w:sz w:val="24"/>
          <w:szCs w:val="24"/>
          <w:lang w:val="ro-RO"/>
        </w:rPr>
        <w:t xml:space="preserve"> privind evaluarea riscului prevăzute la art. 6 din </w:t>
      </w:r>
      <w:r w:rsidRPr="00654DFD">
        <w:rPr>
          <w:rFonts w:ascii="Times New Roman" w:hAnsi="Times New Roman"/>
          <w:kern w:val="24"/>
          <w:sz w:val="24"/>
          <w:szCs w:val="24"/>
          <w:lang w:val="it-IT"/>
        </w:rPr>
        <w:t>[RO-02]</w:t>
      </w:r>
      <w:r w:rsidRPr="00BF4606">
        <w:rPr>
          <w:rFonts w:ascii="Times New Roman" w:hAnsi="Times New Roman"/>
          <w:sz w:val="24"/>
          <w:szCs w:val="24"/>
          <w:lang w:val="ro-RO"/>
        </w:rPr>
        <w:t>;</w:t>
      </w:r>
    </w:p>
    <w:p w:rsidR="00C04AD8" w:rsidRPr="00BF4606" w:rsidRDefault="00C04AD8" w:rsidP="00C04AD8">
      <w:pPr>
        <w:pStyle w:val="Listparagraf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BF4606">
        <w:rPr>
          <w:rFonts w:ascii="Times New Roman" w:hAnsi="Times New Roman"/>
          <w:sz w:val="24"/>
          <w:szCs w:val="24"/>
          <w:lang w:val="ro-RO" w:eastAsia="ro-RO"/>
        </w:rPr>
        <w:lastRenderedPageBreak/>
        <w:t>declarație pe proprie răspundere cu enumerarea sub formă tabelară a cerințelor și a parametrilor de bază raportat la capitolul cerințelor din STI pe care solicitantul declară că subsistemul le îndeplinește;</w:t>
      </w:r>
    </w:p>
    <w:p w:rsidR="00C04AD8" w:rsidRPr="00FD64F6" w:rsidRDefault="00C04AD8" w:rsidP="00C04AD8">
      <w:pPr>
        <w:pStyle w:val="Listparagraf"/>
        <w:spacing w:before="24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C04AD8" w:rsidRPr="005D5ED7" w:rsidRDefault="00C04AD8" w:rsidP="00C04AD8">
      <w:pPr>
        <w:pStyle w:val="Listparagraf"/>
        <w:spacing w:before="240" w:line="276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5D5ED7">
        <w:rPr>
          <w:rFonts w:ascii="Times New Roman" w:hAnsi="Times New Roman"/>
          <w:b/>
          <w:bCs/>
          <w:sz w:val="24"/>
          <w:szCs w:val="24"/>
          <w:lang w:val="ro-RO"/>
        </w:rPr>
        <w:t>NOTĂ</w:t>
      </w:r>
      <w:r w:rsidRPr="005D5ED7">
        <w:rPr>
          <w:rFonts w:ascii="Times New Roman" w:hAnsi="Times New Roman"/>
          <w:sz w:val="24"/>
          <w:szCs w:val="24"/>
          <w:lang w:val="ro-RO"/>
        </w:rPr>
        <w:t xml:space="preserve">: Declarația de verificare «CE» și toate documentele </w:t>
      </w:r>
      <w:proofErr w:type="spellStart"/>
      <w:r w:rsidRPr="005D5ED7">
        <w:rPr>
          <w:rFonts w:ascii="Times New Roman" w:hAnsi="Times New Roman"/>
          <w:sz w:val="24"/>
          <w:szCs w:val="24"/>
          <w:lang w:val="ro-RO"/>
        </w:rPr>
        <w:t>documentele</w:t>
      </w:r>
      <w:proofErr w:type="spellEnd"/>
      <w:r w:rsidRPr="005D5ED7">
        <w:rPr>
          <w:rFonts w:ascii="Times New Roman" w:hAnsi="Times New Roman"/>
          <w:sz w:val="24"/>
          <w:szCs w:val="24"/>
          <w:lang w:val="ro-RO"/>
        </w:rPr>
        <w:t xml:space="preserve"> însoțitoare din dosar sunt datate și semnate de către solicitant.</w:t>
      </w:r>
    </w:p>
    <w:p w:rsidR="00C04AD8" w:rsidRPr="001F66EA" w:rsidRDefault="00C04AD8" w:rsidP="00C04AD8">
      <w:pPr>
        <w:pStyle w:val="Corptext"/>
        <w:tabs>
          <w:tab w:val="clear" w:pos="992"/>
          <w:tab w:val="left" w:pos="0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D5ED7">
        <w:rPr>
          <w:rFonts w:ascii="Times New Roman" w:hAnsi="Times New Roman" w:cs="Times New Roman"/>
          <w:sz w:val="24"/>
          <w:szCs w:val="24"/>
          <w:lang w:val="ro-RO"/>
        </w:rPr>
        <w:t>----------------------------------------------------------------------------------------------------------------------</w:t>
      </w: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3133E" w:rsidRPr="00F12F40" w:rsidRDefault="00AC5F27" w:rsidP="00C04AD8">
      <w:pPr>
        <w:spacing w:before="0" w:after="120" w:line="276" w:lineRule="auto"/>
        <w:jc w:val="right"/>
      </w:pPr>
    </w:p>
    <w:sectPr w:rsidR="00F3133E" w:rsidRPr="00F12F40" w:rsidSect="00FA3B36">
      <w:footerReference w:type="default" r:id="rId7"/>
      <w:pgSz w:w="11906" w:h="16838" w:code="9"/>
      <w:pgMar w:top="1418" w:right="1418" w:bottom="1418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27" w:rsidRDefault="00AC5F27" w:rsidP="00FA3B36">
      <w:pPr>
        <w:spacing w:before="0"/>
      </w:pPr>
      <w:r>
        <w:separator/>
      </w:r>
    </w:p>
  </w:endnote>
  <w:endnote w:type="continuationSeparator" w:id="0">
    <w:p w:rsidR="00AC5F27" w:rsidRDefault="00AC5F27" w:rsidP="00FA3B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36" w:rsidRDefault="00FA3B36" w:rsidP="00FA3B36">
    <w:pPr>
      <w:pStyle w:val="Subsol"/>
      <w:jc w:val="center"/>
      <w:rPr>
        <w:rFonts w:ascii="Times New Roman" w:hAnsi="Times New Roman" w:cs="Times New Roman"/>
        <w:b/>
        <w:bCs/>
      </w:rPr>
    </w:pPr>
    <w:r w:rsidRPr="002F7DCA">
      <w:rPr>
        <w:rFonts w:ascii="Times New Roman" w:hAnsi="Times New Roman" w:cs="Times New Roman"/>
        <w:b/>
        <w:bCs/>
      </w:rPr>
      <w:t>GHID COD: G</w:t>
    </w:r>
    <w:r>
      <w:rPr>
        <w:rFonts w:ascii="Times New Roman" w:hAnsi="Times New Roman" w:cs="Times New Roman"/>
        <w:b/>
        <w:bCs/>
      </w:rPr>
      <w:t xml:space="preserve"> </w:t>
    </w:r>
    <w:r w:rsidRPr="002F7DCA">
      <w:rPr>
        <w:rFonts w:ascii="Times New Roman" w:hAnsi="Times New Roman" w:cs="Times New Roman"/>
        <w:b/>
        <w:bCs/>
      </w:rPr>
      <w:t xml:space="preserve">- </w:t>
    </w:r>
    <w:r>
      <w:rPr>
        <w:rFonts w:ascii="Times New Roman" w:hAnsi="Times New Roman" w:cs="Times New Roman"/>
        <w:b/>
        <w:bCs/>
      </w:rPr>
      <w:t>0</w:t>
    </w:r>
    <w:r w:rsidRPr="002F7DCA">
      <w:rPr>
        <w:rFonts w:ascii="Times New Roman" w:hAnsi="Times New Roman" w:cs="Times New Roman"/>
        <w:b/>
        <w:bCs/>
      </w:rPr>
      <w:t>7-01</w:t>
    </w:r>
    <w:r>
      <w:rPr>
        <w:rFonts w:ascii="Times New Roman" w:hAnsi="Times New Roman" w:cs="Times New Roman"/>
        <w:b/>
        <w:bCs/>
      </w:rPr>
      <w:t xml:space="preserve">. </w:t>
    </w:r>
  </w:p>
  <w:p w:rsidR="00FA3B36" w:rsidRPr="002F7DCA" w:rsidRDefault="00FA3B36" w:rsidP="00FA3B36">
    <w:pPr>
      <w:pStyle w:val="Subsol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© ASFR </w:t>
    </w:r>
    <w:proofErr w:type="spellStart"/>
    <w:r>
      <w:rPr>
        <w:rFonts w:ascii="Times New Roman" w:hAnsi="Times New Roman" w:cs="Times New Roman"/>
        <w:b/>
        <w:bCs/>
      </w:rPr>
      <w:t>București</w:t>
    </w:r>
    <w:proofErr w:type="spellEnd"/>
    <w:r>
      <w:rPr>
        <w:rFonts w:ascii="Times New Roman" w:hAnsi="Times New Roman" w:cs="Times New Roman"/>
        <w:b/>
        <w:bCs/>
      </w:rPr>
      <w:t xml:space="preserve"> 2024 - </w:t>
    </w:r>
    <w:proofErr w:type="spellStart"/>
    <w:r>
      <w:rPr>
        <w:rFonts w:ascii="Times New Roman" w:hAnsi="Times New Roman" w:cs="Times New Roman"/>
        <w:b/>
        <w:bCs/>
      </w:rPr>
      <w:t>Toate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drepturile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sunt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rezervate</w:t>
    </w:r>
    <w:proofErr w:type="spellEnd"/>
    <w:r>
      <w:rPr>
        <w:rFonts w:ascii="Times New Roman" w:hAnsi="Times New Roman" w:cs="Times New Roman"/>
        <w:b/>
        <w:bCs/>
      </w:rPr>
      <w:t xml:space="preserve"> ASFR</w:t>
    </w:r>
  </w:p>
  <w:p w:rsidR="00FA3B36" w:rsidRPr="00036FF0" w:rsidRDefault="00FA3B36" w:rsidP="00FA3B36">
    <w:pPr>
      <w:pStyle w:val="NormalaMoi"/>
      <w:ind w:left="0"/>
      <w:rPr>
        <w:sz w:val="12"/>
        <w:szCs w:val="12"/>
        <w:lang w:val="en-US"/>
      </w:rPr>
    </w:pPr>
  </w:p>
  <w:p w:rsidR="00FA3B36" w:rsidRDefault="00FA3B3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27" w:rsidRDefault="00AC5F27" w:rsidP="00FA3B36">
      <w:pPr>
        <w:spacing w:before="0"/>
      </w:pPr>
      <w:r>
        <w:separator/>
      </w:r>
    </w:p>
  </w:footnote>
  <w:footnote w:type="continuationSeparator" w:id="0">
    <w:p w:rsidR="00AC5F27" w:rsidRDefault="00AC5F27" w:rsidP="00FA3B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A7F"/>
    <w:multiLevelType w:val="hybridMultilevel"/>
    <w:tmpl w:val="D390F7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C0A64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0BF"/>
    <w:multiLevelType w:val="hybridMultilevel"/>
    <w:tmpl w:val="CB04F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704FAD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396EAC00">
      <w:start w:val="1"/>
      <w:numFmt w:val="lowerLetter"/>
      <w:lvlText w:val="%3)"/>
      <w:lvlJc w:val="left"/>
      <w:pPr>
        <w:ind w:left="234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19EA"/>
    <w:multiLevelType w:val="hybridMultilevel"/>
    <w:tmpl w:val="8682D12E"/>
    <w:lvl w:ilvl="0" w:tplc="6B9EFB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43DD"/>
    <w:multiLevelType w:val="hybridMultilevel"/>
    <w:tmpl w:val="0D2E05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4E0FD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53FC8"/>
    <w:multiLevelType w:val="hybridMultilevel"/>
    <w:tmpl w:val="10E44D5A"/>
    <w:lvl w:ilvl="0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3A9FC8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6D92"/>
    <w:multiLevelType w:val="hybridMultilevel"/>
    <w:tmpl w:val="C1D6DC84"/>
    <w:lvl w:ilvl="0" w:tplc="608076A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B2A"/>
    <w:multiLevelType w:val="hybridMultilevel"/>
    <w:tmpl w:val="FDFE92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20801E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F20"/>
    <w:multiLevelType w:val="hybridMultilevel"/>
    <w:tmpl w:val="E0B2C53C"/>
    <w:lvl w:ilvl="0" w:tplc="B3E84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916923"/>
    <w:multiLevelType w:val="hybridMultilevel"/>
    <w:tmpl w:val="1D9C5E52"/>
    <w:lvl w:ilvl="0" w:tplc="0FE8A5D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95CD79C">
      <w:start w:val="1"/>
      <w:numFmt w:val="lowerLetter"/>
      <w:lvlText w:val="%2)"/>
      <w:lvlJc w:val="left"/>
      <w:pPr>
        <w:ind w:left="23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5EE5"/>
    <w:multiLevelType w:val="hybridMultilevel"/>
    <w:tmpl w:val="862E28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8D4F0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5A8"/>
    <w:multiLevelType w:val="hybridMultilevel"/>
    <w:tmpl w:val="1E6693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0878"/>
    <w:multiLevelType w:val="hybridMultilevel"/>
    <w:tmpl w:val="7B6C7EFE"/>
    <w:lvl w:ilvl="0" w:tplc="4D60D4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EC8"/>
    <w:multiLevelType w:val="hybridMultilevel"/>
    <w:tmpl w:val="07E0710C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A4CE0FFA">
      <w:start w:val="3"/>
      <w:numFmt w:val="bullet"/>
      <w:lvlText w:val="•"/>
      <w:lvlJc w:val="left"/>
      <w:pPr>
        <w:ind w:left="2624" w:hanging="360"/>
      </w:pPr>
      <w:rPr>
        <w:rFonts w:ascii="Calibri" w:eastAsia="Calibri" w:hAnsi="Calibri" w:cs="Calibri" w:hint="default"/>
      </w:rPr>
    </w:lvl>
    <w:lvl w:ilvl="3" w:tplc="381843E6">
      <w:start w:val="1"/>
      <w:numFmt w:val="decimal"/>
      <w:lvlText w:val="%4."/>
      <w:lvlJc w:val="left"/>
      <w:pPr>
        <w:ind w:left="3164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CE6521"/>
    <w:multiLevelType w:val="hybridMultilevel"/>
    <w:tmpl w:val="10222CE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E31CA3"/>
    <w:multiLevelType w:val="hybridMultilevel"/>
    <w:tmpl w:val="B61E46D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CE4BE0"/>
    <w:multiLevelType w:val="hybridMultilevel"/>
    <w:tmpl w:val="C37883A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CC1B79"/>
    <w:multiLevelType w:val="hybridMultilevel"/>
    <w:tmpl w:val="33906E6A"/>
    <w:lvl w:ilvl="0" w:tplc="B3E84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3F672F"/>
    <w:multiLevelType w:val="hybridMultilevel"/>
    <w:tmpl w:val="7D8242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C3C84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271E"/>
    <w:multiLevelType w:val="hybridMultilevel"/>
    <w:tmpl w:val="010680D6"/>
    <w:lvl w:ilvl="0" w:tplc="02082DD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A25097"/>
    <w:multiLevelType w:val="hybridMultilevel"/>
    <w:tmpl w:val="045ED9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0A0238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582"/>
    <w:multiLevelType w:val="hybridMultilevel"/>
    <w:tmpl w:val="5950D3D0"/>
    <w:lvl w:ilvl="0" w:tplc="B3E8413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C6D2895"/>
    <w:multiLevelType w:val="hybridMultilevel"/>
    <w:tmpl w:val="4B740B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564F92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D2D7A"/>
    <w:multiLevelType w:val="hybridMultilevel"/>
    <w:tmpl w:val="B804F6EA"/>
    <w:lvl w:ilvl="0" w:tplc="B3E84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22"/>
  </w:num>
  <w:num w:numId="5">
    <w:abstractNumId w:val="7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13"/>
  </w:num>
  <w:num w:numId="13">
    <w:abstractNumId w:val="20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5"/>
  </w:num>
  <w:num w:numId="19">
    <w:abstractNumId w:val="6"/>
  </w:num>
  <w:num w:numId="20">
    <w:abstractNumId w:val="21"/>
  </w:num>
  <w:num w:numId="21">
    <w:abstractNumId w:val="4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6"/>
    <w:rsid w:val="00062B34"/>
    <w:rsid w:val="00066586"/>
    <w:rsid w:val="000D3D12"/>
    <w:rsid w:val="00144D3E"/>
    <w:rsid w:val="001C06E1"/>
    <w:rsid w:val="00217B0C"/>
    <w:rsid w:val="002755AF"/>
    <w:rsid w:val="002D45E7"/>
    <w:rsid w:val="002E4FC2"/>
    <w:rsid w:val="00404446"/>
    <w:rsid w:val="004E5AA8"/>
    <w:rsid w:val="006328B1"/>
    <w:rsid w:val="00907E3E"/>
    <w:rsid w:val="00941450"/>
    <w:rsid w:val="00A026DB"/>
    <w:rsid w:val="00A656C3"/>
    <w:rsid w:val="00A85D52"/>
    <w:rsid w:val="00AC5F27"/>
    <w:rsid w:val="00C04AD8"/>
    <w:rsid w:val="00E72BF7"/>
    <w:rsid w:val="00F12F40"/>
    <w:rsid w:val="00F61606"/>
    <w:rsid w:val="00FA3B36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1253-B427-4801-AF95-1899237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6"/>
    <w:pPr>
      <w:spacing w:before="160" w:after="0" w:line="240" w:lineRule="auto"/>
      <w:ind w:left="1418"/>
      <w:jc w:val="both"/>
    </w:pPr>
    <w:rPr>
      <w:rFonts w:ascii="Arial" w:eastAsia="Times New Roman" w:hAnsi="Arial" w:cs="Arial"/>
      <w:sz w:val="20"/>
      <w:szCs w:val="20"/>
      <w:lang w:val="en-GB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3B36"/>
    <w:pPr>
      <w:tabs>
        <w:tab w:val="left" w:pos="992"/>
      </w:tabs>
      <w:spacing w:before="240"/>
      <w:ind w:left="992" w:hanging="992"/>
    </w:pPr>
    <w:rPr>
      <w:kern w:val="24"/>
      <w:sz w:val="21"/>
    </w:rPr>
  </w:style>
  <w:style w:type="character" w:customStyle="1" w:styleId="CorptextCaracter">
    <w:name w:val="Corp text Caracter"/>
    <w:basedOn w:val="Fontdeparagrafimplicit"/>
    <w:link w:val="Corptext"/>
    <w:rsid w:val="00FA3B36"/>
    <w:rPr>
      <w:rFonts w:ascii="Arial" w:eastAsia="Times New Roman" w:hAnsi="Arial" w:cs="Arial"/>
      <w:kern w:val="24"/>
      <w:sz w:val="21"/>
      <w:szCs w:val="20"/>
      <w:lang w:val="en-GB" w:eastAsia="fr-FR"/>
    </w:rPr>
  </w:style>
  <w:style w:type="paragraph" w:styleId="Listparagraf">
    <w:name w:val="List Paragraph"/>
    <w:basedOn w:val="Normal"/>
    <w:link w:val="ListparagrafCaracter"/>
    <w:uiPriority w:val="34"/>
    <w:qFormat/>
    <w:rsid w:val="00FA3B36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kern w:val="2"/>
      <w:sz w:val="22"/>
      <w:szCs w:val="22"/>
      <w:lang w:val="en-US" w:eastAsia="en-US"/>
    </w:rPr>
  </w:style>
  <w:style w:type="character" w:customStyle="1" w:styleId="ListparagrafCaracter">
    <w:name w:val="Listă paragraf Caracter"/>
    <w:link w:val="Listparagraf"/>
    <w:uiPriority w:val="34"/>
    <w:qFormat/>
    <w:locked/>
    <w:rsid w:val="00FA3B36"/>
    <w:rPr>
      <w:rFonts w:ascii="Calibri" w:eastAsia="Calibri" w:hAnsi="Calibri" w:cs="Times New Roman"/>
      <w:kern w:val="2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A3B36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FA3B36"/>
    <w:rPr>
      <w:rFonts w:ascii="Arial" w:eastAsia="Times New Roman" w:hAnsi="Arial" w:cs="Arial"/>
      <w:sz w:val="20"/>
      <w:szCs w:val="20"/>
      <w:lang w:val="en-GB" w:eastAsia="fr-FR"/>
    </w:rPr>
  </w:style>
  <w:style w:type="paragraph" w:styleId="Subsol">
    <w:name w:val="footer"/>
    <w:basedOn w:val="Normal"/>
    <w:link w:val="SubsolCaracter"/>
    <w:uiPriority w:val="99"/>
    <w:unhideWhenUsed/>
    <w:rsid w:val="00FA3B36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FA3B36"/>
    <w:rPr>
      <w:rFonts w:ascii="Arial" w:eastAsia="Times New Roman" w:hAnsi="Arial" w:cs="Arial"/>
      <w:sz w:val="20"/>
      <w:szCs w:val="20"/>
      <w:lang w:val="en-GB" w:eastAsia="fr-FR"/>
    </w:rPr>
  </w:style>
  <w:style w:type="paragraph" w:customStyle="1" w:styleId="NormalaMoi">
    <w:name w:val="Normal_a_Moi"/>
    <w:link w:val="NormalaMoiCar"/>
    <w:rsid w:val="00FA3B36"/>
    <w:pPr>
      <w:spacing w:after="0" w:line="240" w:lineRule="auto"/>
      <w:ind w:left="992"/>
      <w:jc w:val="both"/>
    </w:pPr>
    <w:rPr>
      <w:rFonts w:ascii="Arial" w:eastAsia="Times New Roman" w:hAnsi="Arial" w:cs="Arial"/>
      <w:kern w:val="24"/>
      <w:sz w:val="21"/>
      <w:szCs w:val="20"/>
      <w:lang w:val="en-GB" w:eastAsia="fr-FR"/>
    </w:rPr>
  </w:style>
  <w:style w:type="character" w:customStyle="1" w:styleId="NormalaMoiCar">
    <w:name w:val="Normal_a_Moi Car"/>
    <w:link w:val="NormalaMoi"/>
    <w:rsid w:val="00FA3B36"/>
    <w:rPr>
      <w:rFonts w:ascii="Arial" w:eastAsia="Times New Roman" w:hAnsi="Arial" w:cs="Arial"/>
      <w:kern w:val="24"/>
      <w:sz w:val="21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Baltac</dc:creator>
  <cp:keywords/>
  <dc:description/>
  <cp:lastModifiedBy>user</cp:lastModifiedBy>
  <cp:revision>2</cp:revision>
  <dcterms:created xsi:type="dcterms:W3CDTF">2024-12-12T07:48:00Z</dcterms:created>
  <dcterms:modified xsi:type="dcterms:W3CDTF">2024-12-12T07:48:00Z</dcterms:modified>
</cp:coreProperties>
</file>